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A6D" w:rsidRPr="007E5A6D" w:rsidRDefault="007E5A6D" w:rsidP="007E5A6D">
      <w:pPr>
        <w:jc w:val="both"/>
        <w:rPr>
          <w:rFonts w:ascii="Times New Roman" w:hAnsi="Times New Roman" w:cs="Times New Roman"/>
          <w:b/>
        </w:rPr>
      </w:pPr>
      <w:r w:rsidRPr="007E5A6D">
        <w:rPr>
          <w:rFonts w:ascii="Times New Roman" w:hAnsi="Times New Roman" w:cs="Times New Roman"/>
          <w:b/>
        </w:rPr>
        <w:t>УНИВЕРСАЛЬНЫЕ МЕХАНИЗМЫ И ПРОЦЕДУРЫ МЕЖДУНАРОДНОЙ ЗАЩИТЫ ПРАВ И СВОБОД ЧЕЛОВЕКА</w:t>
      </w:r>
    </w:p>
    <w:p w:rsidR="007E5A6D" w:rsidRDefault="007E5A6D" w:rsidP="007E5A6D">
      <w:pPr>
        <w:jc w:val="both"/>
        <w:rPr>
          <w:rFonts w:ascii="Times New Roman" w:hAnsi="Times New Roman" w:cs="Times New Roman"/>
          <w:b/>
        </w:rPr>
      </w:pPr>
      <w:r w:rsidRPr="007E5A6D">
        <w:rPr>
          <w:rFonts w:ascii="Times New Roman" w:hAnsi="Times New Roman" w:cs="Times New Roman"/>
          <w:b/>
        </w:rPr>
        <w:t xml:space="preserve"> </w:t>
      </w:r>
      <w:r w:rsidRPr="007E5A6D">
        <w:rPr>
          <w:rFonts w:ascii="Times New Roman" w:hAnsi="Times New Roman" w:cs="Times New Roman"/>
          <w:b/>
        </w:rPr>
        <w:t xml:space="preserve"> </w:t>
      </w:r>
      <w:r>
        <w:rPr>
          <w:rFonts w:ascii="Times New Roman" w:hAnsi="Times New Roman" w:cs="Times New Roman"/>
          <w:b/>
        </w:rPr>
        <w:t>1.</w:t>
      </w:r>
      <w:r w:rsidRPr="007E5A6D">
        <w:rPr>
          <w:rFonts w:ascii="Times New Roman" w:hAnsi="Times New Roman" w:cs="Times New Roman"/>
          <w:b/>
        </w:rPr>
        <w:t xml:space="preserve">Понятие и функции международной защиты прав человека </w:t>
      </w:r>
    </w:p>
    <w:p w:rsidR="00E231B3" w:rsidRDefault="00E231B3" w:rsidP="00E231B3">
      <w:pPr>
        <w:jc w:val="both"/>
        <w:rPr>
          <w:rFonts w:ascii="Times New Roman" w:hAnsi="Times New Roman" w:cs="Times New Roman"/>
          <w:b/>
        </w:rPr>
      </w:pPr>
      <w:r w:rsidRPr="00E231B3">
        <w:rPr>
          <w:rFonts w:ascii="Times New Roman" w:hAnsi="Times New Roman" w:cs="Times New Roman"/>
          <w:b/>
        </w:rPr>
        <w:t>2.</w:t>
      </w:r>
      <w:r w:rsidRPr="00E231B3">
        <w:rPr>
          <w:rFonts w:ascii="Times New Roman" w:hAnsi="Times New Roman" w:cs="Times New Roman"/>
          <w:b/>
        </w:rPr>
        <w:t>Понятие, виды и формы международного контроля за соблюдением прав человека</w:t>
      </w:r>
    </w:p>
    <w:p w:rsidR="009F62A4" w:rsidRPr="009F62A4" w:rsidRDefault="009F62A4" w:rsidP="00E231B3">
      <w:pPr>
        <w:jc w:val="both"/>
        <w:rPr>
          <w:rFonts w:ascii="Times New Roman" w:hAnsi="Times New Roman" w:cs="Times New Roman"/>
          <w:b/>
        </w:rPr>
      </w:pPr>
      <w:r w:rsidRPr="009F62A4">
        <w:rPr>
          <w:rFonts w:ascii="Times New Roman" w:hAnsi="Times New Roman" w:cs="Times New Roman"/>
          <w:b/>
        </w:rPr>
        <w:t>3.</w:t>
      </w:r>
      <w:r w:rsidRPr="009F62A4">
        <w:rPr>
          <w:rFonts w:ascii="Times New Roman" w:hAnsi="Times New Roman" w:cs="Times New Roman"/>
          <w:b/>
        </w:rPr>
        <w:t>Универсальные контрольные механизмы и процедуры в рамках ООН</w:t>
      </w:r>
    </w:p>
    <w:p w:rsidR="006A3A06" w:rsidRDefault="00E231B3" w:rsidP="007E5A6D">
      <w:pPr>
        <w:jc w:val="both"/>
        <w:rPr>
          <w:rFonts w:ascii="Times New Roman" w:hAnsi="Times New Roman" w:cs="Times New Roman"/>
        </w:rPr>
      </w:pPr>
      <w:r>
        <w:rPr>
          <w:rFonts w:ascii="Times New Roman" w:hAnsi="Times New Roman" w:cs="Times New Roman"/>
        </w:rPr>
        <w:t>1.</w:t>
      </w:r>
      <w:r w:rsidR="007E5A6D" w:rsidRPr="007E5A6D">
        <w:rPr>
          <w:rFonts w:ascii="Times New Roman" w:hAnsi="Times New Roman" w:cs="Times New Roman"/>
        </w:rPr>
        <w:t>Изучение данной темы целесообразно начать с определения института международной защиты прав человека, под которым понимается система международных органов и процедур универсального и регионального характера, функционирующих в направлении разработки международных стандартов в области прав и свобод человека и осуществления контроля за их соблюдением государствами</w:t>
      </w:r>
      <w:proofErr w:type="gramStart"/>
      <w:r w:rsidR="007E5A6D" w:rsidRPr="007E5A6D">
        <w:rPr>
          <w:rFonts w:ascii="Times New Roman" w:hAnsi="Times New Roman" w:cs="Times New Roman"/>
        </w:rPr>
        <w:t>7 .</w:t>
      </w:r>
      <w:proofErr w:type="gramEnd"/>
      <w:r w:rsidR="007E5A6D" w:rsidRPr="007E5A6D">
        <w:rPr>
          <w:rFonts w:ascii="Times New Roman" w:hAnsi="Times New Roman" w:cs="Times New Roman"/>
        </w:rPr>
        <w:t xml:space="preserve"> Поэтому крайне важно разобраться в структуре и особенностях существующих международных механизмов контроля за соблюдением прав человека, функционирующих как в универсальном масштабе, так и на региональном уровне. В структурном отношении институт международной защиты прав человека состоит из международных органов, созданных в рамках международных организаций (ООН, ЮНЕСКО, МОТ, Совет Европы, ОБСЕ, СНГ, ОАГ, Африканский Союз), и конвенционных органов, созданных на основе универсальных и региональных соглашений по правам человека. К функциям международной защиты прав человека относится: разработка деклараций-рекомендаций; кодификационная деятельность (разработка международных стандартов по правам человека); контроль за соблюдением государствами международных стандартов по правам человека </w:t>
      </w:r>
      <w:proofErr w:type="gramStart"/>
      <w:r w:rsidR="007E5A6D" w:rsidRPr="007E5A6D">
        <w:rPr>
          <w:rFonts w:ascii="Times New Roman" w:hAnsi="Times New Roman" w:cs="Times New Roman"/>
        </w:rPr>
        <w:t>8 .</w:t>
      </w:r>
      <w:proofErr w:type="gramEnd"/>
      <w:r w:rsidR="007E5A6D" w:rsidRPr="007E5A6D">
        <w:rPr>
          <w:rFonts w:ascii="Times New Roman" w:hAnsi="Times New Roman" w:cs="Times New Roman"/>
        </w:rPr>
        <w:t xml:space="preserve"> Функции международной и национальной защиты прав человека разграничены следующим образом: на международном уровне разрабатываются международные стандарты (обязательства) в области прав человека и действуют органы контроля за их соблюдением, на национальном уровне государства приводят свое законодательство в соответствие с международными стандартами и гарантируют их выполнение.</w:t>
      </w:r>
    </w:p>
    <w:p w:rsidR="00A116BA" w:rsidRDefault="00E231B3" w:rsidP="002B7BB6">
      <w:pPr>
        <w:jc w:val="both"/>
        <w:rPr>
          <w:rFonts w:ascii="Times New Roman" w:hAnsi="Times New Roman" w:cs="Times New Roman"/>
        </w:rPr>
      </w:pPr>
      <w:r>
        <w:rPr>
          <w:rFonts w:ascii="Times New Roman" w:hAnsi="Times New Roman" w:cs="Times New Roman"/>
        </w:rPr>
        <w:t>2.</w:t>
      </w:r>
      <w:r w:rsidRPr="00E231B3">
        <w:rPr>
          <w:rFonts w:ascii="Times New Roman" w:hAnsi="Times New Roman" w:cs="Times New Roman"/>
        </w:rPr>
        <w:t xml:space="preserve">Понятие, виды и формы международного контроля за соблюдением прав человека </w:t>
      </w:r>
      <w:proofErr w:type="gramStart"/>
      <w:r w:rsidRPr="00E231B3">
        <w:rPr>
          <w:rFonts w:ascii="Times New Roman" w:hAnsi="Times New Roman" w:cs="Times New Roman"/>
        </w:rPr>
        <w:t>Под</w:t>
      </w:r>
      <w:proofErr w:type="gramEnd"/>
      <w:r w:rsidRPr="00E231B3">
        <w:rPr>
          <w:rFonts w:ascii="Times New Roman" w:hAnsi="Times New Roman" w:cs="Times New Roman"/>
        </w:rPr>
        <w:t xml:space="preserve"> международным контролем понимается согласованная деятельность государств или международных организаций по проверке соблюдения государствами принятых на себя обязательств с целью обеспечения их выполнения. Цель международного контроля состоит не в принуждении или применении санкций к государствам за невыполнение взятых ими на себя обязательств, а лишь в проверке соблюдения положений международных соглашений. Одна из основных задач органов контроля – оказание содействия и помощи государствам в выполнении ими международных обязательств путем принятия соответствующих решений и рекомендаций. Международный контроль за соблюдением прав и свобод человека характеризуется наличием специальных международных контрольных механизмов и процедур за соблюдением прав и свобод человека. Контрольные механизмы представляют собой определенные организационные структуры (комитеты, рабочие группы, специальные докладчики и т. д.), а процедуры – порядок и методы изучения соответствующей информации и реагирования на результаты такого изучения. Контрольные механизмы имеют различную юридическую природу: конвенционные, т. е. такие международные контрольные механизмы и процедуры, которые учреждаются на основе международных соглашений по правам человека; внедоговорные создаются и функционируют в рамках ряда международных организаций (ООН, МОТ, ЮНЕСКО и др.). Последние, в свою очередь, подразделяются на уставные (предусмотренные учредительными актами организаций) и специальные. По территориальной сфере действия международные контрольные механизмы и процедуры подразделяются на универсальные и региональные (например, создаваемые в рамках общеевропейского процесса). Исходя из формы осуществления контроля, все международные органы можно разделить на судебные и </w:t>
      </w:r>
      <w:proofErr w:type="spellStart"/>
      <w:r w:rsidRPr="00E231B3">
        <w:rPr>
          <w:rFonts w:ascii="Times New Roman" w:hAnsi="Times New Roman" w:cs="Times New Roman"/>
        </w:rPr>
        <w:t>квазисудебные</w:t>
      </w:r>
      <w:proofErr w:type="spellEnd"/>
      <w:r w:rsidRPr="00E231B3">
        <w:rPr>
          <w:rFonts w:ascii="Times New Roman" w:hAnsi="Times New Roman" w:cs="Times New Roman"/>
        </w:rPr>
        <w:t xml:space="preserve">. По юридической силе принимаемых решений (заключений, резолюций) все международные контрольные органы подразделяются на две группы: органы, чьи решения обязательны для государства, которому они адресованы (решения судебных контрольных органов), и органы, заключения (резолюции) которых носят рекомендательный характер (комитеты, комиссии, уставные и вспомогательные органы международных организаций). Международный контроль за соблюдением прав и свобод человека </w:t>
      </w:r>
      <w:r w:rsidRPr="00E231B3">
        <w:rPr>
          <w:rFonts w:ascii="Times New Roman" w:hAnsi="Times New Roman" w:cs="Times New Roman"/>
        </w:rPr>
        <w:lastRenderedPageBreak/>
        <w:t>осуществляется в следующих формах:</w:t>
      </w:r>
      <w:r w:rsidR="002B7BB6" w:rsidRPr="002B7BB6">
        <w:t xml:space="preserve"> </w:t>
      </w:r>
      <w:r w:rsidR="002B7BB6" w:rsidRPr="002B7BB6">
        <w:rPr>
          <w:rFonts w:ascii="Times New Roman" w:hAnsi="Times New Roman" w:cs="Times New Roman"/>
        </w:rPr>
        <w:t xml:space="preserve">рассмотрение периодических докладов государств о выполнении ими своих обязательств в этой области; − рассмотрение претензий государств друг к другу по поводу нарушения таких обязательств; − рассмотрение индивидуальных жалоб от отдельных лиц, групп лиц неправительственных организаций на нарушения их прав со стороны государства; − изучение (исследование, расследование) ситуаций, связанных с предполагаемыми или установленными нарушениями прав человека (специальные рабочие группы, докладчики, представители и т. д.); − проведение диалога с правительством государства относительно осуществления им прав человека или оказание содействия в разработке программ по их реализации.. </w:t>
      </w:r>
      <w:r w:rsidR="00A116BA">
        <w:rPr>
          <w:rFonts w:ascii="Times New Roman" w:hAnsi="Times New Roman" w:cs="Times New Roman"/>
        </w:rPr>
        <w:t>3.</w:t>
      </w:r>
      <w:r w:rsidR="002B7BB6" w:rsidRPr="002B7BB6">
        <w:rPr>
          <w:rFonts w:ascii="Times New Roman" w:hAnsi="Times New Roman" w:cs="Times New Roman"/>
        </w:rPr>
        <w:t>Универсальный механизм международного контроля в области прав человека, рассматриваемый в рамках данной темы, представляет собой совокупность внедоговорных и договорных (конвенционных) органов международного контроля. 3.3. Универсальные контрольные механизмы и процедуры в рамках ООН Универсальный механизм международной защиты прав и свобод человека создан и действует в рамках Организации Объединенных Наций, ее специализированных учреждений (МОТ, ЮНЕСКО), занимающихся кодификационной деятельностью в области прав человека. Необходимо подробно исследовать функционирование тех уставных органов ООН, которые занимаются рассмотрением проблем в области прав человека, выяснить их компетенцию в рассматриваемой области, проанализировать предоставленные им полномочия. Такие полномочия Уставом ООН возложены на Генеральную Ассамблею (ст. 13), Экономический и Социальный Совет (ст. 62, 64) в рамках их компетенции как главных органов ООН, а также на Генерального секретаря. Следует отметить, что последний обладает более широким кругом полномочий, чем предоставлены ему Уставом ООН (гл. XV). В частности, по просьбе Совета по правам человека Генеральный секретарь может вмешаться или направить миссии в районы кризисных ситуаций, связанных с грубым и массовым нарушением прав человека, с целью выявления причин, установления фактов нарушения, выработки рекомендаций правительству и информирования Совета Безопасности (например, миссии в Бурунди, Судане).</w:t>
      </w:r>
      <w:r w:rsidR="00980A9C" w:rsidRPr="00980A9C">
        <w:t xml:space="preserve"> </w:t>
      </w:r>
      <w:r w:rsidR="00980A9C" w:rsidRPr="00980A9C">
        <w:rPr>
          <w:rFonts w:ascii="Times New Roman" w:hAnsi="Times New Roman" w:cs="Times New Roman"/>
          <w:sz w:val="24"/>
          <w:szCs w:val="24"/>
        </w:rPr>
        <w:t>Кроме того, Генеральный секретарь назначает своих специальных представителей и посланников с особыми заданиями в страны и регионы, которые характеризуются нестабильностью политических режимов, внутренними вооруженными конфликтами, сопровождающимися насилием, нарушениями прав человека. Основным методом практической деятельности Генерального секретаря является метод превентивной дипломатии, выражающийся в предоставлении добрых услуг с целью начала переговорного процесса с правительством государства либо конфликтующих государств для предотвращения или урегулирования конфликта, стабилизации обстановки, разрешения проблем, связанных с соблюдением прав человека</w:t>
      </w:r>
      <w:proofErr w:type="gramStart"/>
      <w:r w:rsidR="00980A9C" w:rsidRPr="00980A9C">
        <w:rPr>
          <w:rFonts w:ascii="Times New Roman" w:hAnsi="Times New Roman" w:cs="Times New Roman"/>
          <w:sz w:val="24"/>
          <w:szCs w:val="24"/>
        </w:rPr>
        <w:t>9 .</w:t>
      </w:r>
      <w:proofErr w:type="gramEnd"/>
      <w:r w:rsidR="00980A9C" w:rsidRPr="00980A9C">
        <w:rPr>
          <w:rFonts w:ascii="Times New Roman" w:hAnsi="Times New Roman" w:cs="Times New Roman"/>
          <w:sz w:val="24"/>
          <w:szCs w:val="24"/>
        </w:rPr>
        <w:t xml:space="preserve"> Рассмотрением вопросов, относящихся к правам человека, в той или иной мере занимаются и другие органы ООН, в частности Совет Безопасности. Безусловно, его основной функцией является «определение существования любой угрозы миру и акта агрессии» и принятие решения о том, «какие меры следует предпринять… для поддержания или восстановления международного мира и безопасности» (ст. 39 Устава ООН). И хотя, на первый взгляд, указанная функция Совета не имеет отношения к правам человека, однако, принимая во внимание отсутствие в международном праве общепризнанного понятия «угроза миру», а также тесную связь грубейших нарушений прав человека с вооруженными конфликтами, следует иметь в виду, что Совет Безопасности вправе квалифицировать грубые и массовые нарушения прав человека как «угрозу миру» и принять резолюции о применении санкций в отношении государства-нарушителя. Анализ резолюций Совета Безопасности и Генеральной Ассамблеи показывает, что эти главные органы ООН обсуждают вопросы, относящиеся к правам человека, также в случаях, если гуманитарная ситуация в соответствующей стране вышла из-под контроля и требует международного урегулирования, нарушения прав человека представляют собой международные преступления, террористические акты ведут к жертвам среди гражданског</w:t>
      </w:r>
      <w:r w:rsidR="002A4243">
        <w:rPr>
          <w:rFonts w:ascii="Times New Roman" w:hAnsi="Times New Roman" w:cs="Times New Roman"/>
          <w:sz w:val="24"/>
          <w:szCs w:val="24"/>
        </w:rPr>
        <w:t xml:space="preserve">о населения, и некоторых др. </w:t>
      </w:r>
      <w:r w:rsidR="00980A9C" w:rsidRPr="00980A9C">
        <w:rPr>
          <w:rFonts w:ascii="Times New Roman" w:hAnsi="Times New Roman" w:cs="Times New Roman"/>
          <w:sz w:val="24"/>
          <w:szCs w:val="24"/>
        </w:rPr>
        <w:t>К специальным (</w:t>
      </w:r>
      <w:proofErr w:type="spellStart"/>
      <w:r w:rsidR="00980A9C" w:rsidRPr="00980A9C">
        <w:rPr>
          <w:rFonts w:ascii="Times New Roman" w:hAnsi="Times New Roman" w:cs="Times New Roman"/>
          <w:sz w:val="24"/>
          <w:szCs w:val="24"/>
        </w:rPr>
        <w:t>внеуставным</w:t>
      </w:r>
      <w:proofErr w:type="spellEnd"/>
      <w:r w:rsidR="00980A9C" w:rsidRPr="00980A9C">
        <w:rPr>
          <w:rFonts w:ascii="Times New Roman" w:hAnsi="Times New Roman" w:cs="Times New Roman"/>
          <w:sz w:val="24"/>
          <w:szCs w:val="24"/>
        </w:rPr>
        <w:t xml:space="preserve">) органам относятся Совет по правам человека, Комиссия по положению женщин – одна из 8 </w:t>
      </w:r>
      <w:r w:rsidR="00980A9C" w:rsidRPr="00980A9C">
        <w:rPr>
          <w:rFonts w:ascii="Times New Roman" w:hAnsi="Times New Roman" w:cs="Times New Roman"/>
          <w:sz w:val="24"/>
          <w:szCs w:val="24"/>
        </w:rPr>
        <w:lastRenderedPageBreak/>
        <w:t>функциональных комиссий ЭКОСОС, Управление Верховного комиссара по правам человека, Управление Верховного комиссара по делам беженцев. Эти механизмы имеют статус вспомогательных органов ООН. Особое внимание следует уделить правовым основаниям и деятельности Совета по правам человека, учрежденного в соответствии с резолюцией</w:t>
      </w:r>
      <w:r w:rsidR="00A116BA">
        <w:rPr>
          <w:rFonts w:ascii="Times New Roman" w:hAnsi="Times New Roman" w:cs="Times New Roman"/>
          <w:sz w:val="24"/>
          <w:szCs w:val="24"/>
        </w:rPr>
        <w:t xml:space="preserve"> </w:t>
      </w:r>
      <w:r w:rsidR="00A116BA" w:rsidRPr="00A116BA">
        <w:rPr>
          <w:rFonts w:ascii="Times New Roman" w:hAnsi="Times New Roman" w:cs="Times New Roman"/>
        </w:rPr>
        <w:t xml:space="preserve">60/251 Генеральной Ассамблеи ООН от 15 марта 2006 г. «взамен Комиссии по правам человека в качестве ее вспомогательного органа». В состав Совета входит 47 государств-членов, каждое из которых избирается большинством членов Генеральной Ассамблеи путем прямого тайного голосования на 3 года на основе принципа справедливого географического представительства (п. 7 резолюции). В компетенцию Совета входит содействие всеобщему уважению и защите всех прав и свобод человека (п. 2); рассмотрение ситуаций, связанных с их грубыми и систематическими нарушениями (п. 3) и др. Важной новацией в деятельности нового правозащитного механизма ООН является система универсального периодического обзора (УПО). Ее главная задача состоит в оценке хода выполнения всеми государствами - членами ООН их обязательств в области прав человека. В рамках такой системы каждое государство - член ООН периодически становится объектом обзора. УПО призван дополнять, а не дублировать работу конвенционных органов. Уже на своей 5-й сессии в 2007 </w:t>
      </w:r>
      <w:proofErr w:type="spellStart"/>
      <w:r w:rsidR="00A116BA" w:rsidRPr="00A116BA">
        <w:rPr>
          <w:rFonts w:ascii="Times New Roman" w:hAnsi="Times New Roman" w:cs="Times New Roman"/>
        </w:rPr>
        <w:t>г.Совет</w:t>
      </w:r>
      <w:proofErr w:type="spellEnd"/>
      <w:r w:rsidR="00A116BA" w:rsidRPr="00A116BA">
        <w:rPr>
          <w:rFonts w:ascii="Times New Roman" w:hAnsi="Times New Roman" w:cs="Times New Roman"/>
        </w:rPr>
        <w:t xml:space="preserve"> по правам человека принял резолюцию 5/1 «Институциональное строительство Совета по правам человека ООН» от 18.06.2007 г., которая одобрила процедуру УПО и определила ее периодичность, а также полномочия Совета рассматривать вопросы, связанные с нарушениями прав человека в любой точке земного шара и назначать специальных докладчиков или представителей − независимых экспертов, обладающих признанной компетенцией в области прав человека. Их полномочия (мандаты) являются различными (для сбора информации и изучения конкретных ситуаций в отдельных странах − </w:t>
      </w:r>
      <w:proofErr w:type="spellStart"/>
      <w:r w:rsidR="00A116BA" w:rsidRPr="00A116BA">
        <w:rPr>
          <w:rFonts w:ascii="Times New Roman" w:hAnsi="Times New Roman" w:cs="Times New Roman"/>
        </w:rPr>
        <w:t>страновые</w:t>
      </w:r>
      <w:proofErr w:type="spellEnd"/>
      <w:r w:rsidR="00A116BA" w:rsidRPr="00A116BA">
        <w:rPr>
          <w:rFonts w:ascii="Times New Roman" w:hAnsi="Times New Roman" w:cs="Times New Roman"/>
        </w:rPr>
        <w:t xml:space="preserve"> мандаты, либо по тем или иным проблемам, связанным с нарушениями какого-либо из прав человека, − тематические мандаты). В вышеуказанном документе содержатся важные положения относительно отбора, выдвижения и назначения специальных докладчиков. Кроме того, в этой же резолюции Советом была утверждена процедура подачи жалоб (которая заменила процедуру 1503 (XLVIII) ЭКОСОС 1970 г.) с целью рассмотрения систематических и достоверно подтвержденных грубых нарушений всех прав и основных свобод человека, совершаемых в любом районе мира и при любых обстоятельствах. Для этого учреждаются две отдельные рабочие группы (по сообщениям и по ситуациям) с мандатом на рассмотрение сообщений и доведение до сведения Совета систематических и достоверно подтвержденных грубых нарушений прав человека и основных свобод.</w:t>
      </w:r>
    </w:p>
    <w:p w:rsidR="004B2A94" w:rsidRDefault="004B2A94" w:rsidP="002B7BB6">
      <w:pPr>
        <w:jc w:val="both"/>
        <w:rPr>
          <w:rFonts w:ascii="Times New Roman" w:hAnsi="Times New Roman" w:cs="Times New Roman"/>
        </w:rPr>
      </w:pPr>
    </w:p>
    <w:p w:rsidR="004B2A94" w:rsidRPr="004B2A94" w:rsidRDefault="004B2A94" w:rsidP="004B2A94">
      <w:pPr>
        <w:jc w:val="both"/>
        <w:rPr>
          <w:rFonts w:ascii="Times New Roman" w:hAnsi="Times New Roman" w:cs="Times New Roman"/>
          <w:b/>
          <w:sz w:val="24"/>
          <w:szCs w:val="24"/>
          <w:lang w:val="en-US"/>
        </w:rPr>
      </w:pPr>
      <w:r w:rsidRPr="004B2A94">
        <w:rPr>
          <w:rFonts w:ascii="Times New Roman" w:hAnsi="Times New Roman" w:cs="Times New Roman"/>
          <w:b/>
          <w:sz w:val="24"/>
          <w:szCs w:val="24"/>
          <w:lang w:val="en-US"/>
        </w:rPr>
        <w:t>UNIVERSAL MECHANISMS AND PROCEDURES FOR THE INTERNATIONAL PROTECTION OF HUMAN RIGHTS AND FREEDOMS</w:t>
      </w:r>
    </w:p>
    <w:p w:rsidR="004B2A94" w:rsidRPr="004B2A94" w:rsidRDefault="004B2A94" w:rsidP="004B2A94">
      <w:pPr>
        <w:jc w:val="both"/>
        <w:rPr>
          <w:rFonts w:ascii="Times New Roman" w:hAnsi="Times New Roman" w:cs="Times New Roman"/>
          <w:b/>
          <w:sz w:val="24"/>
          <w:szCs w:val="24"/>
          <w:lang w:val="en-US"/>
        </w:rPr>
      </w:pPr>
      <w:r w:rsidRPr="004B2A94">
        <w:rPr>
          <w:rFonts w:ascii="Times New Roman" w:hAnsi="Times New Roman" w:cs="Times New Roman"/>
          <w:b/>
          <w:sz w:val="24"/>
          <w:szCs w:val="24"/>
          <w:lang w:val="en-US"/>
        </w:rPr>
        <w:t>1.Concept and functions of international human rights protection</w:t>
      </w:r>
    </w:p>
    <w:p w:rsidR="004B2A94" w:rsidRPr="004B2A94" w:rsidRDefault="004B2A94" w:rsidP="004B2A94">
      <w:pPr>
        <w:jc w:val="both"/>
        <w:rPr>
          <w:rFonts w:ascii="Times New Roman" w:hAnsi="Times New Roman" w:cs="Times New Roman"/>
          <w:b/>
          <w:sz w:val="24"/>
          <w:szCs w:val="24"/>
          <w:lang w:val="en-US"/>
        </w:rPr>
      </w:pPr>
      <w:r w:rsidRPr="004B2A94">
        <w:rPr>
          <w:rFonts w:ascii="Times New Roman" w:hAnsi="Times New Roman" w:cs="Times New Roman"/>
          <w:b/>
          <w:sz w:val="24"/>
          <w:szCs w:val="24"/>
          <w:lang w:val="en-US"/>
        </w:rPr>
        <w:t>2.Concept, types and forms of international control over the observance of human rights</w:t>
      </w:r>
    </w:p>
    <w:p w:rsidR="004B2A94" w:rsidRPr="004B2A94" w:rsidRDefault="004B2A94" w:rsidP="004B2A94">
      <w:pPr>
        <w:jc w:val="both"/>
        <w:rPr>
          <w:rFonts w:ascii="Times New Roman" w:hAnsi="Times New Roman" w:cs="Times New Roman"/>
          <w:b/>
          <w:sz w:val="24"/>
          <w:szCs w:val="24"/>
          <w:lang w:val="en-US"/>
        </w:rPr>
      </w:pPr>
      <w:r w:rsidRPr="004B2A94">
        <w:rPr>
          <w:rFonts w:ascii="Times New Roman" w:hAnsi="Times New Roman" w:cs="Times New Roman"/>
          <w:b/>
          <w:sz w:val="24"/>
          <w:szCs w:val="24"/>
          <w:lang w:val="en-US"/>
        </w:rPr>
        <w:t>3.Universal monitoring mechanisms and procedures within the UN</w:t>
      </w:r>
    </w:p>
    <w:p w:rsidR="004B2A94" w:rsidRPr="004B2A94" w:rsidRDefault="004B2A94" w:rsidP="004B2A94">
      <w:pPr>
        <w:jc w:val="both"/>
        <w:rPr>
          <w:rFonts w:ascii="Times New Roman" w:hAnsi="Times New Roman" w:cs="Times New Roman"/>
          <w:sz w:val="24"/>
          <w:szCs w:val="24"/>
          <w:lang w:val="en-US"/>
        </w:rPr>
      </w:pPr>
      <w:r w:rsidRPr="004B2A94">
        <w:rPr>
          <w:rFonts w:ascii="Times New Roman" w:hAnsi="Times New Roman" w:cs="Times New Roman"/>
          <w:sz w:val="24"/>
          <w:szCs w:val="24"/>
          <w:lang w:val="en-US"/>
        </w:rPr>
        <w:t xml:space="preserve">1.The study of this topic should begin with the definition of the institution of international protection of human rights, which refers to a system of international bodies and procedures of a universal and regional nature that work towards the development of international standards in the field of human rights and freedoms and the monitoring of their compliance by States .7 It is therefore extremely important to understand the structure and features of existing international human rights monitoring mechanisms that operate both on a universal scale and at the regional level. Structurally, the Institute for the international protection of human rights consists of international bodies established within the framework of international organizations (UN, UNESCO, ILO, Council of Europe, OSCE, CIS, OAS, African Union), and Convention bodies established on the basis of universal and regional agreements on human rights. The functions of </w:t>
      </w:r>
      <w:r w:rsidRPr="004B2A94">
        <w:rPr>
          <w:rFonts w:ascii="Times New Roman" w:hAnsi="Times New Roman" w:cs="Times New Roman"/>
          <w:sz w:val="24"/>
          <w:szCs w:val="24"/>
          <w:lang w:val="en-US"/>
        </w:rPr>
        <w:lastRenderedPageBreak/>
        <w:t>international human rights protection include: development of declarations and recommendations; codification (development of international human rights standards); and monitoring compliance by States with international human rights standards .8 The functions of international and national protection of human rights are differentiated as follows: at the international level, international standards (obligations) in the field of human rights are developed and bodies for monitoring their compliance operate; at the national level, States bring their legislation into line with international standards and guarantee their implementation.</w:t>
      </w:r>
    </w:p>
    <w:p w:rsidR="004B2A94" w:rsidRDefault="004B2A94" w:rsidP="004B2A94">
      <w:pPr>
        <w:jc w:val="both"/>
        <w:rPr>
          <w:rFonts w:ascii="Times New Roman" w:hAnsi="Times New Roman" w:cs="Times New Roman"/>
          <w:sz w:val="24"/>
          <w:szCs w:val="24"/>
          <w:lang w:val="en-US"/>
        </w:rPr>
      </w:pPr>
      <w:r w:rsidRPr="004B2A94">
        <w:rPr>
          <w:rFonts w:ascii="Times New Roman" w:hAnsi="Times New Roman" w:cs="Times New Roman"/>
          <w:sz w:val="24"/>
          <w:szCs w:val="24"/>
          <w:lang w:val="en-US"/>
        </w:rPr>
        <w:t xml:space="preserve">2.The concept, types and forms of international human rights monitoring international monitoring refers to the coordinated activities of States or international organizations to verify compliance by States with their obligations in order to ensure their implementation. The purpose of international monitoring is not to compel or impose sanctions on States for non-compliance with their obligations, but only to verify compliance with the provisions of international agreements. One of the main tasks of the monitoring bodies is to assist and assist States in fulfilling their international obligations by making appropriate decisions and recommendations. International monitoring of human rights and freedoms is characterized by the existence of special international monitoring mechanisms and procedures for the observance of human rights and freedoms. Monitoring mechanisms are defined organizational structures (committees, working groups, special rapporteurs, etc.). and procedures – the procedure and methods for studying the relevant information and responding to the results of such study. Monitoring mechanisms have a different legal nature: conventional, i.e. such international monitoring mechanisms and procedures that are established on the basis of international agreements on human rights; non-contractual ones are created and operate within the framework of a number of international organizations (UN, ILO, UNESCO, etc.). The latter, in turn, are divided into statutory (provided by the constituent acts of organizations) and special. By territorial scope, international control mechanisms and procedures are divided into universal and regional ones (for example, those created within the framework of the </w:t>
      </w:r>
      <w:proofErr w:type="gramStart"/>
      <w:r w:rsidRPr="004B2A94">
        <w:rPr>
          <w:rFonts w:ascii="Times New Roman" w:hAnsi="Times New Roman" w:cs="Times New Roman"/>
          <w:sz w:val="24"/>
          <w:szCs w:val="24"/>
          <w:lang w:val="en-US"/>
        </w:rPr>
        <w:t>pan</w:t>
      </w:r>
      <w:proofErr w:type="gramEnd"/>
      <w:r w:rsidRPr="004B2A94">
        <w:rPr>
          <w:rFonts w:ascii="Times New Roman" w:hAnsi="Times New Roman" w:cs="Times New Roman"/>
          <w:sz w:val="24"/>
          <w:szCs w:val="24"/>
          <w:lang w:val="en-US"/>
        </w:rPr>
        <w:t>-European process). Based on the form of control, all international bodies can be divided into judicial and quasi-judicial. According to the legal force of decisions (opinions, resolutions), all international control bodies are divided into two groups: bodies whose decisions are binding on the state to which they are addressed (decisions of judicial control bodies), and bodies whose conclusions (resolutions) are of a recommendatory nature (committees, commissions, statutory and subsidiary bodies of international organizations).</w:t>
      </w:r>
      <w:r w:rsidR="008A4A9A" w:rsidRPr="008A4A9A">
        <w:rPr>
          <w:lang w:val="en-US"/>
        </w:rPr>
        <w:t xml:space="preserve"> </w:t>
      </w:r>
      <w:r w:rsidR="008A4A9A" w:rsidRPr="008A4A9A">
        <w:rPr>
          <w:rFonts w:ascii="Times New Roman" w:hAnsi="Times New Roman" w:cs="Times New Roman"/>
          <w:sz w:val="24"/>
          <w:szCs w:val="24"/>
          <w:lang w:val="en-US"/>
        </w:rPr>
        <w:t xml:space="preserve">International monitoring of human rights and freedoms is carried out in the following forms: consideration of periodic reports of States on the implementation of their obligations in this field − - consideration of claims of States against each other for violations of such obligations; - consideration of individual complaints from individuals, groups of individuals and non-governmental organizations about violations of their rights by the state; - study (research, investigation) of situations related to alleged or established violations of human rights (special working groups, rapporteurs, representatives, etc.); − conduct a dialogue with the government of the state regarding its implementation of human rights or assist in the development of programs for their implementation.. 3.The universal mechanism for international monitoring in the field of human rights, considered under this topic, is a set of non-contractual and Treaty (Convention) international monitoring bodies. 3.3. Universal monitoring mechanisms and procedures within the UN the Universal mechanism for the international protection of human rights and freedoms has been established and operates within the framework of The United Nations and its specialized agencies (ILO, UNESCO) engaged in codification activities in the field of human rights. It is necessary to study in detail the functioning of those UN Charter bodies that deal with human rights issues, find out their competence in this area, and analyze the powers granted to them. Such powers are assigned by the UN Charter to the General Assembly (art.13), the Economic and Social Council (art. 62, 64) within their competence as the main organs of the UN, </w:t>
      </w:r>
      <w:r w:rsidR="008A4A9A" w:rsidRPr="008A4A9A">
        <w:rPr>
          <w:rFonts w:ascii="Times New Roman" w:hAnsi="Times New Roman" w:cs="Times New Roman"/>
          <w:sz w:val="24"/>
          <w:szCs w:val="24"/>
          <w:lang w:val="en-US"/>
        </w:rPr>
        <w:lastRenderedPageBreak/>
        <w:t>as well as to the Secretary-General. It should be noted that the latter has a broader range of powers than are granted to it by the UN Charter (chap. XV). In particular, at the request of the human rights Council, the Secretary-General may intervene or send missions to areas of crisis involving gross and massive violations of human rights in order to identify the causes, establish the facts of the violation, make recommendations to the government and inform the Security Council (for example, missions in Burundi, the Sudan). In addition, the Secretary-General appoints his special representatives and envoys with special assignments to countries and regions that are characterized by instability of political regimes, internal armed conflicts accompanied by violence, and violations of human rights. The main method of practice of the Secretary-General is the method of preventive diplomacy, which is expressed in the provision of good offices in order to start a negotiation process with the government of a state or conflicting States to prevent or resolve a conflict, stabilize the situation, and resolve problems related to the observance of human rights .9 Other UN bodies, in particular the Security Council, also deal with issues related to human rights to some extent. Of course, its main function is to "determine the existence of any threat to the peace and act of aggression" and decide "what measures should be taken... to maintain or restore international peace and security" (article 39 of the UN Charter). And although, at first glance, the function of the Council has nothing to do with human rights, however, taking note of the absence in international law recognized the concept of "threat to peace", as well as the close relationship of gross violations of human rights with armed conflicts, it should be borne in mind that the Security Council's authority to qualify gross and massive violations of human rights as "threat to peace" and to adopt resolutions on applying sanctions against the offending state. Analysis of security Council and General Assembly resolutions shows that these main UN bodies discuss issues related to human rights, also in cases when the humanitarian situation in the country concerned is out of control and requires international settlement, human rights violations constitute international crimes, terrorist acts lead to civilian casualties, and some others.</w:t>
      </w:r>
    </w:p>
    <w:p w:rsidR="00682E32" w:rsidRPr="004B2A94" w:rsidRDefault="00682E32" w:rsidP="004B2A94">
      <w:pPr>
        <w:jc w:val="both"/>
        <w:rPr>
          <w:rFonts w:ascii="Times New Roman" w:hAnsi="Times New Roman" w:cs="Times New Roman"/>
          <w:sz w:val="24"/>
          <w:szCs w:val="24"/>
          <w:lang w:val="en-US"/>
        </w:rPr>
      </w:pPr>
      <w:r w:rsidRPr="00682E32">
        <w:rPr>
          <w:rFonts w:ascii="Times New Roman" w:hAnsi="Times New Roman" w:cs="Times New Roman"/>
          <w:sz w:val="24"/>
          <w:szCs w:val="24"/>
          <w:lang w:val="en-US"/>
        </w:rPr>
        <w:t xml:space="preserve">Special (non-statutory) bodies include the human rights Council, the Commission on the status of women – one of the 8 functional commissions of ECOSOC, the Office of the high Commissioner for human rights, and the Office of the high Commissioner for refugees. These mechanisms have the status of subsidiary organs of the United Nations. Particular attention should be paid to the legal framework and activities of the human rights Council, established in accordance with UN General Assembly resolution 60/251 of 15 March 2006 "to replace the Commission on human rights as its subsidiary body". The Council consists of 47 member States, each of which is elected by a majority of the members of the General Assembly by direct secret ballot for a 3-year term based on the principle of equitable geographical representation (paragraph 7 of the resolution). The Council is responsible for promoting universal respect for and protection of all human rights and freedoms (p.2); addressing situations of gross and systematic violations (p. 3), and others. an Important innovation in the work of the new UN human rights mechanism is the universal periodic review (UPR) system. Its main task is to assess the implementation of all UN member States ' human rights obligations. Under this system, each UN member state is periodically reviewed. The UPR is intended to complement, not duplicate, the work of the Convention bodies. Already at its 5th session in 2007, the human rights Council adopted resolution 5/1 "Institution-building of the UN human rights Council" of 18.06.2007, which approved the UPR procedure and defined its frequency, as well as the Council's authority to consider issues related to human rights violations anywhere in the world and to appoint special rapporteurs or representatives − independent experts with recognized competence in the field of human rights. Their powers (mandates) are different (for collecting information and studying specific situations in individual countries − country mandates, or on certain issues related to violations of any of the human rights-thematic mandates). The above document contains important provisions regarding the selection, nomination and </w:t>
      </w:r>
      <w:r w:rsidRPr="00682E32">
        <w:rPr>
          <w:rFonts w:ascii="Times New Roman" w:hAnsi="Times New Roman" w:cs="Times New Roman"/>
          <w:sz w:val="24"/>
          <w:szCs w:val="24"/>
          <w:lang w:val="en-US"/>
        </w:rPr>
        <w:lastRenderedPageBreak/>
        <w:t>appointment of special rapporteurs. In addition, in the same resolution, the Council approved a complaints procedure (which replaced the ECOSOC 1503 (XLVIII) procedure of 1970) to address systematic and reliably attested gross violations of all human rights and fundamental freedoms committed in any part of the world and under any circumstances. To this end, two separate working groups (on communications and on situations) are established with a mandate to review communications and bring to the attention of the Council systematic and reliably attested gross violations of human rights and fundamental freedoms.</w:t>
      </w:r>
      <w:bookmarkStart w:id="0" w:name="_GoBack"/>
      <w:bookmarkEnd w:id="0"/>
    </w:p>
    <w:sectPr w:rsidR="00682E32" w:rsidRPr="004B2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CB"/>
    <w:rsid w:val="002A4243"/>
    <w:rsid w:val="002B7BB6"/>
    <w:rsid w:val="004B2A94"/>
    <w:rsid w:val="00682E32"/>
    <w:rsid w:val="007155CB"/>
    <w:rsid w:val="007E5A6D"/>
    <w:rsid w:val="007F619B"/>
    <w:rsid w:val="008A4A9A"/>
    <w:rsid w:val="00980A9C"/>
    <w:rsid w:val="009F62A4"/>
    <w:rsid w:val="00A116BA"/>
    <w:rsid w:val="00E231B3"/>
    <w:rsid w:val="00F36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D717"/>
  <w15:chartTrackingRefBased/>
  <w15:docId w15:val="{3466A303-D27F-4D65-9082-352EBE3A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3311</Words>
  <Characters>18879</Characters>
  <Application>Microsoft Office Word</Application>
  <DocSecurity>0</DocSecurity>
  <Lines>157</Lines>
  <Paragraphs>44</Paragraphs>
  <ScaleCrop>false</ScaleCrop>
  <Company>narxoz</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2020-03-26T08:47:00Z</dcterms:created>
  <dcterms:modified xsi:type="dcterms:W3CDTF">2020-03-26T08:55:00Z</dcterms:modified>
</cp:coreProperties>
</file>